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4153"/>
        <w:gridCol w:w="41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c>
          <w:tcPr>
            <w:tcW w:w="4152" w:type="dxa"/>
            <w:tcBorders>
              <w:top w:val="nil"/>
              <w:left w:val="nil"/>
              <w:bottom w:val="nil"/>
              <w:right w:val="nil"/>
            </w:tcBorders>
          </w:tcPr>
          <w:p>
            <w:pPr>
              <w:pStyle w:val="4"/>
              <w:outlineLvl w:val="0"/>
              <w:rPr>
                <w:rFonts w:hint="default" w:ascii="Times New Roman" w:hAnsi="Times New Roman" w:cs="Times New Roman"/>
              </w:rPr>
            </w:pPr>
            <w:r>
              <w:rPr>
                <w:rFonts w:hint="default" w:ascii="Times New Roman" w:hAnsi="Times New Roman" w:cs="Times New Roman"/>
                <w:sz w:val="20"/>
              </w:rPr>
              <w:t>21 декабря 2017 года</w:t>
            </w:r>
          </w:p>
        </w:tc>
        <w:tc>
          <w:tcPr>
            <w:tcW w:w="4152" w:type="dxa"/>
            <w:tcBorders>
              <w:top w:val="nil"/>
              <w:left w:val="nil"/>
              <w:bottom w:val="nil"/>
              <w:right w:val="nil"/>
            </w:tcBorders>
          </w:tcPr>
          <w:p>
            <w:pPr>
              <w:pStyle w:val="4"/>
              <w:jc w:val="right"/>
              <w:outlineLvl w:val="0"/>
              <w:rPr>
                <w:rFonts w:hint="default" w:ascii="Times New Roman" w:hAnsi="Times New Roman" w:cs="Times New Roman"/>
              </w:rPr>
            </w:pPr>
            <w:r>
              <w:rPr>
                <w:rFonts w:hint="default" w:ascii="Times New Roman" w:hAnsi="Times New Roman" w:cs="Times New Roman"/>
                <w:sz w:val="20"/>
              </w:rPr>
              <w:t>N 618</w:t>
            </w:r>
          </w:p>
        </w:tc>
      </w:tr>
    </w:tbl>
    <w:p>
      <w:pPr>
        <w:pStyle w:val="4"/>
        <w:pBdr>
          <w:top w:val="single" w:color="auto" w:sz="6" w:space="0"/>
        </w:pBdr>
        <w:spacing w:before="100" w:after="100"/>
        <w:jc w:val="both"/>
        <w:rPr>
          <w:rFonts w:hint="default" w:ascii="Times New Roman" w:hAnsi="Times New Roman" w:cs="Times New Roman"/>
          <w:sz w:val="2"/>
          <w:szCs w:val="2"/>
        </w:rPr>
      </w:pPr>
    </w:p>
    <w:p>
      <w:pPr>
        <w:pStyle w:val="4"/>
        <w:jc w:val="both"/>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sz w:val="20"/>
        </w:rPr>
        <w:t>УКАЗ</w:t>
      </w:r>
    </w:p>
    <w:p>
      <w:pPr>
        <w:pStyle w:val="6"/>
        <w:jc w:val="both"/>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sz w:val="20"/>
        </w:rPr>
        <w:t>ПРЕЗИДЕНТА РОССИЙСКОЙ ФЕДЕРАЦИИ</w:t>
      </w:r>
    </w:p>
    <w:p>
      <w:pPr>
        <w:pStyle w:val="6"/>
        <w:jc w:val="both"/>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sz w:val="20"/>
        </w:rPr>
        <w:t>ОБ ОСНОВНЫХ НАПРАВЛЕНИЯХ</w:t>
      </w:r>
    </w:p>
    <w:p>
      <w:pPr>
        <w:pStyle w:val="6"/>
        <w:jc w:val="center"/>
        <w:rPr>
          <w:rFonts w:hint="default" w:ascii="Times New Roman" w:hAnsi="Times New Roman" w:cs="Times New Roman"/>
        </w:rPr>
      </w:pPr>
      <w:r>
        <w:rPr>
          <w:rFonts w:hint="default" w:ascii="Times New Roman" w:hAnsi="Times New Roman" w:cs="Times New Roman"/>
          <w:sz w:val="20"/>
        </w:rPr>
        <w:t>ГОСУДАРСТВЕННОЙ ПОЛИТИКИ ПО РАЗВИТИЮ КОНКУРЕНЦИИ</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sz w:val="20"/>
        </w:rPr>
        <w:t>В целях укрепления национальной экономики, дальнейшего развития конкуренции и недопущения монополистической деятельности постановляю:</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2. Определить, что целями совершенствования государственной политики по развитию конкуренции являются:</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повышение удовлетворенности потребителей за счет расширения ассортимента товаров, работ, услуг, повышения их качества и снижения цен;</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3. Определить в качестве основополагающих принципов государственной политики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обеспечение равных условий и свободы экономической деятельности на территории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обеспечение развития малого и среднего предпринимательства;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г) направленность государственных инвестиций на развитие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 обеспечение условий для привлечения инвестиций хозяйствующих субъектов в развитие товарных рынков;</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и) развитие конкуренции в сферах экономической деятельности государственных предприятий, предприятий с государственным участием;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к) сочетание превентивного и последующего контроля для целей защиты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м) открытость антимонопольной политики;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 измеримость результатов государственной политики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 стимулирование со стороны государства добросовестных практик осуществления хозяйственной деятельности;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р) развитие организованной (биржевой) торговли в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с) информационная открытость деятельности инфраструктурных монополий;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у) внедрение риск-ориентированного подхода в деятельности органов государственного контроля (надзора);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4. Определить основополагающими принципами осуществления деятельности федеральных органов исполнительной власти: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5. Утвердить прилагаемый Национальный </w:t>
      </w:r>
      <w:r>
        <w:rPr>
          <w:rFonts w:hint="default" w:ascii="Times New Roman" w:hAnsi="Times New Roman" w:cs="Times New Roman"/>
        </w:rPr>
        <w:fldChar w:fldCharType="begin"/>
      </w:r>
      <w:r>
        <w:rPr>
          <w:rFonts w:hint="default" w:ascii="Times New Roman" w:hAnsi="Times New Roman" w:cs="Times New Roman"/>
        </w:rPr>
        <w:instrText xml:space="preserve">HYPERLINK \l"P74"</w:instrText>
      </w:r>
      <w:r>
        <w:rPr>
          <w:rFonts w:hint="default" w:ascii="Times New Roman" w:hAnsi="Times New Roman" w:cs="Times New Roman"/>
        </w:rPr>
        <w:fldChar w:fldCharType="separate"/>
      </w:r>
      <w:r>
        <w:rPr>
          <w:rFonts w:hint="default" w:ascii="Times New Roman" w:hAnsi="Times New Roman" w:cs="Times New Roman"/>
          <w:color w:val="0000FF"/>
          <w:sz w:val="20"/>
        </w:rPr>
        <w:t>план</w:t>
      </w:r>
      <w:r>
        <w:rPr>
          <w:rFonts w:hint="default" w:ascii="Times New Roman" w:hAnsi="Times New Roman" w:cs="Times New Roman"/>
        </w:rPr>
        <w:fldChar w:fldCharType="end"/>
      </w:r>
      <w:r>
        <w:rPr>
          <w:rFonts w:hint="default" w:ascii="Times New Roman" w:hAnsi="Times New Roman" w:cs="Times New Roman"/>
          <w:sz w:val="20"/>
        </w:rPr>
        <w:t xml:space="preserve"> развития конкуренции в Российской Федерации на 2018 - 2020 годы (далее - Национальный план).</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6. Правительству Российской Федерации осуществлять координацию выполнения мероприятий, предусмотренных Национальным </w:t>
      </w:r>
      <w:r>
        <w:rPr>
          <w:rFonts w:hint="default" w:ascii="Times New Roman" w:hAnsi="Times New Roman" w:cs="Times New Roman"/>
        </w:rPr>
        <w:fldChar w:fldCharType="begin"/>
      </w:r>
      <w:r>
        <w:rPr>
          <w:rFonts w:hint="default" w:ascii="Times New Roman" w:hAnsi="Times New Roman" w:cs="Times New Roman"/>
        </w:rPr>
        <w:instrText xml:space="preserve">HYPERLINK \l"P74"</w:instrText>
      </w:r>
      <w:r>
        <w:rPr>
          <w:rFonts w:hint="default" w:ascii="Times New Roman" w:hAnsi="Times New Roman" w:cs="Times New Roman"/>
        </w:rPr>
        <w:fldChar w:fldCharType="separate"/>
      </w:r>
      <w:r>
        <w:rPr>
          <w:rFonts w:hint="default" w:ascii="Times New Roman" w:hAnsi="Times New Roman" w:cs="Times New Roman"/>
          <w:color w:val="0000FF"/>
          <w:sz w:val="20"/>
        </w:rPr>
        <w:t>планом</w:t>
      </w:r>
      <w:r>
        <w:rPr>
          <w:rFonts w:hint="default" w:ascii="Times New Roman" w:hAnsi="Times New Roman" w:cs="Times New Roman"/>
        </w:rPr>
        <w:fldChar w:fldCharType="end"/>
      </w:r>
      <w:r>
        <w:rPr>
          <w:rFonts w:hint="default" w:ascii="Times New Roman" w:hAnsi="Times New Roman" w:cs="Times New Roman"/>
          <w:sz w:val="20"/>
        </w:rPr>
        <w:t>.</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8. Рекомендовать:</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Генеральной прокуратуре Российской Федерации обеспечить координацию деятельности правоохранительных органов в целях предупреждения и пресечения ограничивающих конкуренцию соглашений (картелей), запрещенных в соответствии с антимонопольным законодательством;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органам местного самоуправления активизировать работу по развитию конкуренции в муниципальных образованиях;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9. 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"consultantplus://offline/ref=D703E0704125FE7E1373A0F34A248E46669B3412DB83019CED21F9A637188682E2C4ACC619106FAF4294CFEF29F992D1EA7CB105BB239DD9e0A0J"</w:instrText>
      </w:r>
      <w:r>
        <w:rPr>
          <w:rFonts w:hint="default" w:ascii="Times New Roman" w:hAnsi="Times New Roman" w:cs="Times New Roman"/>
        </w:rPr>
        <w:fldChar w:fldCharType="separate"/>
      </w:r>
      <w:r>
        <w:rPr>
          <w:rFonts w:hint="default" w:ascii="Times New Roman" w:hAnsi="Times New Roman" w:cs="Times New Roman"/>
          <w:color w:val="0000FF"/>
          <w:sz w:val="20"/>
        </w:rPr>
        <w:t>стандарта</w:t>
      </w:r>
      <w:r>
        <w:rPr>
          <w:rFonts w:hint="default" w:ascii="Times New Roman" w:hAnsi="Times New Roman" w:cs="Times New Roman"/>
        </w:rPr>
        <w:fldChar w:fldCharType="end"/>
      </w:r>
      <w:r>
        <w:rPr>
          <w:rFonts w:hint="default" w:ascii="Times New Roman" w:hAnsi="Times New Roman" w:cs="Times New Roman"/>
          <w:sz w:val="20"/>
        </w:rPr>
        <w:t xml:space="preserve"> развития конкуренции в субъектах Российской Федерации, утвержденного распоряжением Правительства Российской Федерации от 5 сентября 2015 г. N 1738-р.</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10. Предложить саморегулируемым организациям, общественным организациям, профессиональным союзам и советам потребителей: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принять активное участие в работе совещательных органов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использовать механизм общественного контроля за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"consultantplus://offline/ref=D703E0704125FE7E1373A0F34A248E46679F321AD186019CED21F9A637188682E2C4ACC51C1364FA13DBCEB36CA881D0EC7CB307A7e2A1J"</w:instrText>
      </w:r>
      <w:r>
        <w:rPr>
          <w:rFonts w:hint="default" w:ascii="Times New Roman" w:hAnsi="Times New Roman" w:cs="Times New Roman"/>
        </w:rPr>
        <w:fldChar w:fldCharType="separate"/>
      </w:r>
      <w:r>
        <w:rPr>
          <w:rFonts w:hint="default" w:ascii="Times New Roman" w:hAnsi="Times New Roman" w:cs="Times New Roman"/>
          <w:color w:val="0000FF"/>
          <w:sz w:val="20"/>
        </w:rPr>
        <w:t>пунктом 10 части 2 статьи 23</w:t>
      </w:r>
      <w:r>
        <w:rPr>
          <w:rFonts w:hint="default" w:ascii="Times New Roman" w:hAnsi="Times New Roman" w:cs="Times New Roman"/>
        </w:rPr>
        <w:fldChar w:fldCharType="end"/>
      </w:r>
      <w:r>
        <w:rPr>
          <w:rFonts w:hint="default" w:ascii="Times New Roman" w:hAnsi="Times New Roman" w:cs="Times New Roman"/>
          <w:sz w:val="20"/>
        </w:rPr>
        <w:t xml:space="preserve"> Федерального закона "О защите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pPr>
        <w:pStyle w:val="4"/>
        <w:jc w:val="right"/>
        <w:rPr>
          <w:rFonts w:hint="default" w:ascii="Times New Roman" w:hAnsi="Times New Roman" w:cs="Times New Roman"/>
        </w:rPr>
      </w:pPr>
      <w:r>
        <w:rPr>
          <w:rFonts w:hint="default" w:ascii="Times New Roman" w:hAnsi="Times New Roman" w:cs="Times New Roman"/>
          <w:sz w:val="20"/>
        </w:rPr>
        <w:t>Президент</w:t>
      </w:r>
    </w:p>
    <w:p>
      <w:pPr>
        <w:pStyle w:val="4"/>
        <w:jc w:val="right"/>
        <w:rPr>
          <w:rFonts w:hint="default" w:ascii="Times New Roman" w:hAnsi="Times New Roman" w:cs="Times New Roman"/>
        </w:rPr>
      </w:pPr>
      <w:r>
        <w:rPr>
          <w:rFonts w:hint="default" w:ascii="Times New Roman" w:hAnsi="Times New Roman" w:cs="Times New Roman"/>
          <w:sz w:val="20"/>
        </w:rPr>
        <w:t>Российской Федерации</w:t>
      </w:r>
    </w:p>
    <w:p>
      <w:pPr>
        <w:pStyle w:val="4"/>
        <w:jc w:val="right"/>
        <w:rPr>
          <w:rFonts w:hint="default" w:ascii="Times New Roman" w:hAnsi="Times New Roman" w:cs="Times New Roman"/>
        </w:rPr>
      </w:pPr>
      <w:r>
        <w:rPr>
          <w:rFonts w:hint="default" w:ascii="Times New Roman" w:hAnsi="Times New Roman" w:cs="Times New Roman"/>
          <w:sz w:val="20"/>
        </w:rPr>
        <w:t>В.ПУТИН</w:t>
      </w:r>
    </w:p>
    <w:p>
      <w:pPr>
        <w:pStyle w:val="4"/>
        <w:jc w:val="both"/>
        <w:rPr>
          <w:rFonts w:hint="default" w:ascii="Times New Roman" w:hAnsi="Times New Roman" w:cs="Times New Roman"/>
        </w:rPr>
      </w:pPr>
      <w:r>
        <w:rPr>
          <w:rFonts w:hint="default" w:ascii="Times New Roman" w:hAnsi="Times New Roman" w:cs="Times New Roman"/>
          <w:sz w:val="20"/>
        </w:rPr>
        <w:t>Москва, Кремль</w:t>
      </w:r>
    </w:p>
    <w:p>
      <w:pPr>
        <w:pStyle w:val="4"/>
        <w:spacing w:before="200"/>
        <w:jc w:val="both"/>
        <w:rPr>
          <w:rFonts w:hint="default" w:ascii="Times New Roman" w:hAnsi="Times New Roman" w:cs="Times New Roman"/>
        </w:rPr>
      </w:pPr>
      <w:r>
        <w:rPr>
          <w:rFonts w:hint="default" w:ascii="Times New Roman" w:hAnsi="Times New Roman" w:cs="Times New Roman"/>
          <w:sz w:val="20"/>
        </w:rPr>
        <w:t>21 декабря 2017 года</w:t>
      </w:r>
    </w:p>
    <w:p>
      <w:pPr>
        <w:pStyle w:val="4"/>
        <w:spacing w:before="200"/>
        <w:jc w:val="both"/>
        <w:rPr>
          <w:rFonts w:hint="default" w:ascii="Times New Roman" w:hAnsi="Times New Roman" w:cs="Times New Roman"/>
        </w:rPr>
      </w:pPr>
      <w:r>
        <w:rPr>
          <w:rFonts w:hint="default" w:ascii="Times New Roman" w:hAnsi="Times New Roman" w:cs="Times New Roman"/>
          <w:sz w:val="20"/>
        </w:rPr>
        <w:t>N 618</w:t>
      </w:r>
    </w:p>
    <w:p>
      <w:pPr>
        <w:pStyle w:val="4"/>
        <w:jc w:val="both"/>
        <w:rPr>
          <w:rFonts w:hint="default" w:ascii="Times New Roman" w:hAnsi="Times New Roman" w:cs="Times New Roman"/>
        </w:rPr>
      </w:pPr>
    </w:p>
    <w:p>
      <w:pPr>
        <w:pStyle w:val="4"/>
        <w:jc w:val="right"/>
        <w:outlineLvl w:val="0"/>
        <w:rPr>
          <w:rFonts w:hint="default" w:ascii="Times New Roman" w:hAnsi="Times New Roman" w:cs="Times New Roman"/>
        </w:rPr>
      </w:pPr>
      <w:r>
        <w:rPr>
          <w:rFonts w:hint="default" w:ascii="Times New Roman" w:hAnsi="Times New Roman" w:cs="Times New Roman"/>
          <w:sz w:val="20"/>
        </w:rPr>
        <w:t>Утвержден</w:t>
      </w:r>
    </w:p>
    <w:p>
      <w:pPr>
        <w:pStyle w:val="4"/>
        <w:jc w:val="right"/>
        <w:rPr>
          <w:rFonts w:hint="default" w:ascii="Times New Roman" w:hAnsi="Times New Roman" w:cs="Times New Roman"/>
        </w:rPr>
      </w:pPr>
      <w:r>
        <w:rPr>
          <w:rFonts w:hint="default" w:ascii="Times New Roman" w:hAnsi="Times New Roman" w:cs="Times New Roman"/>
          <w:sz w:val="20"/>
        </w:rPr>
        <w:t>Указом Президента</w:t>
      </w:r>
    </w:p>
    <w:p>
      <w:pPr>
        <w:pStyle w:val="4"/>
        <w:jc w:val="right"/>
        <w:rPr>
          <w:rFonts w:hint="default" w:ascii="Times New Roman" w:hAnsi="Times New Roman" w:cs="Times New Roman"/>
        </w:rPr>
      </w:pPr>
      <w:r>
        <w:rPr>
          <w:rFonts w:hint="default" w:ascii="Times New Roman" w:hAnsi="Times New Roman" w:cs="Times New Roman"/>
          <w:sz w:val="20"/>
        </w:rPr>
        <w:t>Российской Федерации</w:t>
      </w:r>
    </w:p>
    <w:p>
      <w:pPr>
        <w:pStyle w:val="4"/>
        <w:jc w:val="right"/>
        <w:rPr>
          <w:rFonts w:hint="default" w:ascii="Times New Roman" w:hAnsi="Times New Roman" w:cs="Times New Roman"/>
        </w:rPr>
      </w:pPr>
      <w:r>
        <w:rPr>
          <w:rFonts w:hint="default" w:ascii="Times New Roman" w:hAnsi="Times New Roman" w:cs="Times New Roman"/>
          <w:sz w:val="20"/>
        </w:rPr>
        <w:t>от 21 декабря 2017 г. N 618</w:t>
      </w:r>
    </w:p>
    <w:p>
      <w:pPr>
        <w:pStyle w:val="4"/>
        <w:jc w:val="both"/>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sz w:val="20"/>
        </w:rPr>
        <w:t>НАЦИОНАЛЬНЫЙ ПЛАН</w:t>
      </w:r>
    </w:p>
    <w:p>
      <w:pPr>
        <w:pStyle w:val="6"/>
        <w:jc w:val="center"/>
        <w:rPr>
          <w:rFonts w:hint="default" w:ascii="Times New Roman" w:hAnsi="Times New Roman" w:cs="Times New Roman"/>
        </w:rPr>
      </w:pPr>
      <w:r>
        <w:rPr>
          <w:rFonts w:hint="default" w:ascii="Times New Roman" w:hAnsi="Times New Roman" w:cs="Times New Roman"/>
          <w:sz w:val="20"/>
        </w:rPr>
        <w:t>РАЗВИТИЯ КОНКУРЕНЦИИ В РОССИЙСКОЙ ФЕДЕРАЦИИ</w:t>
      </w:r>
    </w:p>
    <w:p>
      <w:pPr>
        <w:pStyle w:val="6"/>
        <w:jc w:val="center"/>
        <w:rPr>
          <w:rFonts w:hint="default" w:ascii="Times New Roman" w:hAnsi="Times New Roman" w:cs="Times New Roman"/>
        </w:rPr>
      </w:pPr>
      <w:r>
        <w:rPr>
          <w:rFonts w:hint="default" w:ascii="Times New Roman" w:hAnsi="Times New Roman" w:cs="Times New Roman"/>
          <w:sz w:val="20"/>
        </w:rPr>
        <w:t>НА 2018 - 2020 ГОДЫ</w:t>
      </w:r>
    </w:p>
    <w:p>
      <w:pPr>
        <w:pStyle w:val="4"/>
        <w:jc w:val="both"/>
        <w:rPr>
          <w:rFonts w:hint="default" w:ascii="Times New Roman" w:hAnsi="Times New Roman" w:cs="Times New Roman"/>
        </w:rPr>
      </w:pPr>
    </w:p>
    <w:p>
      <w:pPr>
        <w:pStyle w:val="4"/>
        <w:ind w:firstLine="540"/>
        <w:jc w:val="both"/>
        <w:rPr>
          <w:rFonts w:hint="default" w:ascii="Times New Roman" w:hAnsi="Times New Roman" w:cs="Times New Roman"/>
        </w:rPr>
      </w:pPr>
      <w:r>
        <w:rPr>
          <w:rFonts w:hint="default" w:ascii="Times New Roman" w:hAnsi="Times New Roman" w:cs="Times New Roman"/>
          <w:sz w:val="20"/>
        </w:rPr>
        <w:t>1. Мероприятия настоящего Национального плана направлены на достижение следующих ключевых показателей: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2. В целях реализации основных направлений государственной политики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Правительству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до 1 октября 2018 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обеспечить принятие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"consultantplus://offline/ref=D703E0704125FE7E1373BEE85F248E46679A341ED180019CED21F9A637188682E2C4ACC619106FAE4B94CFEF29F992D1EA7CB105BB239DD9e0A0J"</w:instrText>
      </w:r>
      <w:r>
        <w:rPr>
          <w:rFonts w:hint="default" w:ascii="Times New Roman" w:hAnsi="Times New Roman" w:cs="Times New Roman"/>
        </w:rPr>
        <w:fldChar w:fldCharType="separate"/>
      </w:r>
      <w:r>
        <w:rPr>
          <w:rFonts w:hint="default" w:ascii="Times New Roman" w:hAnsi="Times New Roman" w:cs="Times New Roman"/>
          <w:color w:val="0000FF"/>
          <w:sz w:val="20"/>
        </w:rPr>
        <w:t>правил</w:t>
      </w:r>
      <w:r>
        <w:rPr>
          <w:rFonts w:hint="default" w:ascii="Times New Roman" w:hAnsi="Times New Roman" w:cs="Times New Roman"/>
        </w:rPr>
        <w:fldChar w:fldCharType="end"/>
      </w:r>
      <w:r>
        <w:rPr>
          <w:rFonts w:hint="default" w:ascii="Times New Roman" w:hAnsi="Times New Roman" w:cs="Times New Roman"/>
          <w:sz w:val="20"/>
        </w:rPr>
        <w:t xml:space="preserve">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до 1 июля 2018 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обеспечивающих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r>
        <w:rPr>
          <w:rFonts w:hint="default" w:ascii="Times New Roman" w:hAnsi="Times New Roman" w:cs="Times New Roman"/>
        </w:rPr>
        <w:fldChar w:fldCharType="begin"/>
      </w:r>
      <w:r>
        <w:rPr>
          <w:rFonts w:hint="default" w:ascii="Times New Roman" w:hAnsi="Times New Roman" w:cs="Times New Roman"/>
        </w:rPr>
        <w:instrText xml:space="preserve">HYPERLINK \l"P148"</w:instrText>
      </w:r>
      <w:r>
        <w:rPr>
          <w:rFonts w:hint="default" w:ascii="Times New Roman" w:hAnsi="Times New Roman" w:cs="Times New Roman"/>
        </w:rPr>
        <w:fldChar w:fldCharType="separate"/>
      </w:r>
      <w:r>
        <w:rPr>
          <w:rFonts w:hint="default" w:ascii="Times New Roman" w:hAnsi="Times New Roman" w:cs="Times New Roman"/>
          <w:color w:val="0000FF"/>
          <w:sz w:val="20"/>
        </w:rPr>
        <w:t>приложению</w:t>
      </w:r>
      <w:r>
        <w:rPr>
          <w:rFonts w:hint="default" w:ascii="Times New Roman" w:hAnsi="Times New Roman" w:cs="Times New Roman"/>
        </w:rPr>
        <w:fldChar w:fldCharType="end"/>
      </w:r>
      <w:r>
        <w:rPr>
          <w:rFonts w:hint="default" w:ascii="Times New Roman" w:hAnsi="Times New Roman" w:cs="Times New Roman"/>
          <w:sz w:val="20"/>
        </w:rPr>
        <w:t>;</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до 1 февраля 2019 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представить предложения по снижению уровня административных барьеров, препятствующих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утвердить план мероприятий, направленный на системное развитие организованных торгов на товарных рынках, включающий в себя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до 1 марта 2019 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принять меры по повышению эффективности деятельности антимонопольных органов, в том числе:</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обеспечить возможность сотрудников антимонопольных органов в рамках административных процедур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правил недискриминационного доступа поставщиков к закупкам;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планов сокращения практики заключения договоров с "единственным поставщиком" в закупочной деятельности;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программ по повышению качества управления закупочной деятельностью, предусматривающих разработку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"consultantplus://offline/ref=D703E0704125FE7E1373BEE85F248E46679F341CDA84019CED21F9A637188682E2C4ACC619106FAC4294CFEF29F992D1EA7CB105BB239DD9e0A0J"</w:instrText>
      </w:r>
      <w:r>
        <w:rPr>
          <w:rFonts w:hint="default" w:ascii="Times New Roman" w:hAnsi="Times New Roman" w:cs="Times New Roman"/>
        </w:rPr>
        <w:fldChar w:fldCharType="separate"/>
      </w:r>
      <w:r>
        <w:rPr>
          <w:rFonts w:hint="default" w:ascii="Times New Roman" w:hAnsi="Times New Roman" w:cs="Times New Roman"/>
          <w:color w:val="0000FF"/>
          <w:sz w:val="20"/>
        </w:rPr>
        <w:t>показателей</w:t>
      </w:r>
      <w:r>
        <w:rPr>
          <w:rFonts w:hint="default" w:ascii="Times New Roman" w:hAnsi="Times New Roman" w:cs="Times New Roman"/>
        </w:rPr>
        <w:fldChar w:fldCharType="end"/>
      </w:r>
      <w:r>
        <w:rPr>
          <w:rFonts w:hint="default" w:ascii="Times New Roman" w:hAnsi="Times New Roman" w:cs="Times New Roman"/>
          <w:sz w:val="20"/>
        </w:rPr>
        <w:t xml:space="preserve"> эффективности таких программ, оценку и повышение квалификации персонала, ответственного за осуществление закупочной деятельности;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осуществлять ежегодно, в том числе с привлечением представителей бизнес-сообщества,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Федеральной антимонопольной службе:</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r>
        <w:rPr>
          <w:rFonts w:hint="default" w:ascii="Times New Roman" w:hAnsi="Times New Roman" w:cs="Times New Roman"/>
        </w:rPr>
        <w:fldChar w:fldCharType="begin"/>
      </w:r>
      <w:r>
        <w:rPr>
          <w:rFonts w:hint="default" w:ascii="Times New Roman" w:hAnsi="Times New Roman" w:cs="Times New Roman"/>
        </w:rPr>
        <w:instrText xml:space="preserve">HYPERLINK "consultantplus://offline/ref=D703E0704125FE7E1373A0F34A248E46679F321AD186019CED21F9A637188682E2C4ACC51C1364FA13DBCEB36CA881D0EC7CB307A7e2A1J"</w:instrText>
      </w:r>
      <w:r>
        <w:rPr>
          <w:rFonts w:hint="default" w:ascii="Times New Roman" w:hAnsi="Times New Roman" w:cs="Times New Roman"/>
        </w:rPr>
        <w:fldChar w:fldCharType="separate"/>
      </w:r>
      <w:r>
        <w:rPr>
          <w:rFonts w:hint="default" w:ascii="Times New Roman" w:hAnsi="Times New Roman" w:cs="Times New Roman"/>
          <w:color w:val="0000FF"/>
          <w:sz w:val="20"/>
        </w:rPr>
        <w:t>пунктом 10 части 2 статьи 23</w:t>
      </w:r>
      <w:r>
        <w:rPr>
          <w:rFonts w:hint="default" w:ascii="Times New Roman" w:hAnsi="Times New Roman" w:cs="Times New Roman"/>
        </w:rPr>
        <w:fldChar w:fldCharType="end"/>
      </w:r>
      <w:r>
        <w:rPr>
          <w:rFonts w:hint="default" w:ascii="Times New Roman" w:hAnsi="Times New Roman" w:cs="Times New Roman"/>
          <w:sz w:val="20"/>
        </w:rPr>
        <w:t xml:space="preserve"> Федерального закона "О защите конкуренции" (далее - доклад о состоянии конкуренции), включать в него следующую информацию:</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основные проблемы, тенденции и предложения по развитию конкуренции в отдельных отраслях;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оценка состояния конкуренции в субъектах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оценка состояния конкуренции институтами гражданского общества;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антиконкурентных соглашений на трансграничных рынках и недобросовестных конкурентных практик;</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федеральным органам исполнительной власти: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представить до 1 января 2019 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считать приоритетным обеспечение недискриминационного доступа поставщиков к закупкам товаров, работ, услуг;</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обеспечить внедрение показателей, характеризующих эффективность закупок товаров, работ, услуг, в том числе подведомственными организациями;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раскрытия ограничивающих конкуренцию соглашений (картелей), запрещенных в соответствии с антимонопольным законодательством;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е) высшим должностным лицам (руководителям высших исполнительных органов государственной власти) субъектов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осуществлять взаимодействие с федеральными органами исполнительной власти в целях реализации Национального плана.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а) ограничение создания унитарных предприятий на конкурентных рынках;</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 Российской Федерации или Правительства Российской Федерации);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контроля за их исполнением;</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ж) правовое регулирование системы внутреннего обеспечения соответствия требованиям антимонопольного законодательства;</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pPr>
        <w:pStyle w:val="4"/>
        <w:spacing w:before="200"/>
        <w:ind w:firstLine="540"/>
        <w:jc w:val="both"/>
        <w:rPr>
          <w:rFonts w:hint="default" w:ascii="Times New Roman" w:hAnsi="Times New Roman" w:cs="Times New Roman"/>
        </w:rPr>
      </w:pPr>
      <w:r>
        <w:rPr>
          <w:rFonts w:hint="default" w:ascii="Times New Roman" w:hAnsi="Times New Roman" w:cs="Times New Roman"/>
          <w:sz w:val="20"/>
        </w:rPr>
        <w:t>и) закрепление единого порядка досудебного рассмотрения споров, связанных с установлением и (или) применением регулируемых цен (тарифов).</w:t>
      </w: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jc w:val="right"/>
        <w:outlineLvl w:val="1"/>
        <w:rPr>
          <w:rFonts w:hint="default" w:ascii="Times New Roman" w:hAnsi="Times New Roman" w:cs="Times New Roman"/>
          <w:sz w:val="20"/>
        </w:rPr>
      </w:pPr>
    </w:p>
    <w:p>
      <w:pPr>
        <w:pStyle w:val="4"/>
        <w:jc w:val="right"/>
        <w:outlineLvl w:val="1"/>
        <w:rPr>
          <w:rFonts w:hint="default" w:ascii="Times New Roman" w:hAnsi="Times New Roman" w:cs="Times New Roman"/>
          <w:sz w:val="20"/>
        </w:rPr>
      </w:pPr>
    </w:p>
    <w:p>
      <w:pPr>
        <w:pStyle w:val="4"/>
        <w:jc w:val="right"/>
        <w:outlineLvl w:val="1"/>
        <w:rPr>
          <w:rFonts w:hint="default" w:ascii="Times New Roman" w:hAnsi="Times New Roman" w:cs="Times New Roman"/>
          <w:sz w:val="20"/>
        </w:rPr>
      </w:pPr>
    </w:p>
    <w:p>
      <w:pPr>
        <w:pStyle w:val="4"/>
        <w:jc w:val="right"/>
        <w:outlineLvl w:val="1"/>
        <w:rPr>
          <w:rFonts w:hint="default" w:ascii="Times New Roman" w:hAnsi="Times New Roman" w:cs="Times New Roman"/>
          <w:sz w:val="20"/>
        </w:rPr>
      </w:pPr>
    </w:p>
    <w:p>
      <w:pPr>
        <w:pStyle w:val="4"/>
        <w:jc w:val="right"/>
        <w:outlineLvl w:val="1"/>
        <w:rPr>
          <w:rFonts w:hint="default" w:ascii="Times New Roman" w:hAnsi="Times New Roman" w:cs="Times New Roman"/>
          <w:sz w:val="20"/>
        </w:rPr>
      </w:pPr>
    </w:p>
    <w:p>
      <w:pPr>
        <w:pStyle w:val="4"/>
        <w:jc w:val="right"/>
        <w:outlineLvl w:val="1"/>
        <w:rPr>
          <w:rFonts w:hint="default" w:ascii="Times New Roman" w:hAnsi="Times New Roman" w:cs="Times New Roman"/>
        </w:rPr>
      </w:pPr>
      <w:bookmarkStart w:id="0" w:name="_GoBack"/>
      <w:bookmarkEnd w:id="0"/>
      <w:r>
        <w:rPr>
          <w:rFonts w:hint="default" w:ascii="Times New Roman" w:hAnsi="Times New Roman" w:cs="Times New Roman"/>
          <w:sz w:val="20"/>
        </w:rPr>
        <w:t>Приложение</w:t>
      </w:r>
    </w:p>
    <w:p>
      <w:pPr>
        <w:pStyle w:val="4"/>
        <w:jc w:val="right"/>
        <w:rPr>
          <w:rFonts w:hint="default" w:ascii="Times New Roman" w:hAnsi="Times New Roman" w:cs="Times New Roman"/>
        </w:rPr>
      </w:pPr>
      <w:r>
        <w:rPr>
          <w:rFonts w:hint="default" w:ascii="Times New Roman" w:hAnsi="Times New Roman" w:cs="Times New Roman"/>
          <w:sz w:val="20"/>
        </w:rPr>
        <w:t>к Национальному плану развития</w:t>
      </w:r>
    </w:p>
    <w:p>
      <w:pPr>
        <w:pStyle w:val="4"/>
        <w:jc w:val="right"/>
        <w:rPr>
          <w:rFonts w:hint="default" w:ascii="Times New Roman" w:hAnsi="Times New Roman" w:cs="Times New Roman"/>
        </w:rPr>
      </w:pPr>
      <w:r>
        <w:rPr>
          <w:rFonts w:hint="default" w:ascii="Times New Roman" w:hAnsi="Times New Roman" w:cs="Times New Roman"/>
          <w:sz w:val="20"/>
        </w:rPr>
        <w:t>конкуренции в Российской Федерации</w:t>
      </w:r>
    </w:p>
    <w:p>
      <w:pPr>
        <w:pStyle w:val="4"/>
        <w:jc w:val="right"/>
        <w:rPr>
          <w:rFonts w:hint="default" w:ascii="Times New Roman" w:hAnsi="Times New Roman" w:cs="Times New Roman"/>
        </w:rPr>
      </w:pPr>
      <w:r>
        <w:rPr>
          <w:rFonts w:hint="default" w:ascii="Times New Roman" w:hAnsi="Times New Roman" w:cs="Times New Roman"/>
          <w:sz w:val="20"/>
        </w:rPr>
        <w:t>на 2018 - 2020 годы</w:t>
      </w:r>
    </w:p>
    <w:p>
      <w:pPr>
        <w:pStyle w:val="4"/>
        <w:jc w:val="both"/>
        <w:rPr>
          <w:rFonts w:hint="default" w:ascii="Times New Roman" w:hAnsi="Times New Roman" w:cs="Times New Roman"/>
        </w:rPr>
      </w:pPr>
    </w:p>
    <w:p>
      <w:pPr>
        <w:pStyle w:val="6"/>
        <w:jc w:val="center"/>
        <w:rPr>
          <w:rFonts w:hint="default" w:ascii="Times New Roman" w:hAnsi="Times New Roman" w:cs="Times New Roman"/>
        </w:rPr>
      </w:pPr>
      <w:r>
        <w:rPr>
          <w:rFonts w:hint="default" w:ascii="Times New Roman" w:hAnsi="Times New Roman" w:cs="Times New Roman"/>
          <w:sz w:val="20"/>
        </w:rPr>
        <w:t>ПЕРЕЧЕНЬ</w:t>
      </w:r>
    </w:p>
    <w:p>
      <w:pPr>
        <w:pStyle w:val="6"/>
        <w:jc w:val="center"/>
        <w:rPr>
          <w:rFonts w:hint="default" w:ascii="Times New Roman" w:hAnsi="Times New Roman" w:cs="Times New Roman"/>
        </w:rPr>
      </w:pPr>
      <w:r>
        <w:rPr>
          <w:rFonts w:hint="default" w:ascii="Times New Roman" w:hAnsi="Times New Roman" w:cs="Times New Roman"/>
          <w:sz w:val="20"/>
        </w:rPr>
        <w:t>ОТРАСЛЕЙ (СФЕР) ЭКОНОМИКИ (ВИДОВ ДЕЯТЕЛЬНОСТИ) И ОЖИДАЕМЫХ</w:t>
      </w:r>
    </w:p>
    <w:p>
      <w:pPr>
        <w:pStyle w:val="6"/>
        <w:jc w:val="center"/>
        <w:rPr>
          <w:rFonts w:hint="default" w:ascii="Times New Roman" w:hAnsi="Times New Roman" w:cs="Times New Roman"/>
        </w:rPr>
      </w:pPr>
      <w:r>
        <w:rPr>
          <w:rFonts w:hint="default" w:ascii="Times New Roman" w:hAnsi="Times New Roman" w:cs="Times New Roman"/>
          <w:sz w:val="20"/>
        </w:rPr>
        <w:t>РЕЗУЛЬТАТОВ РАЗВИТИЯ КОНКУРЕНЦИИ</w:t>
      </w:r>
    </w:p>
    <w:tbl>
      <w:tblPr>
        <w:tblW w:w="0" w:type="auto"/>
        <w:tblInd w:w="0" w:type="dxa"/>
        <w:tblBorders>
          <w:top w:val="single" w:color="auto" w:sz="4" w:space="0"/>
          <w:left w:val="none" w:color="auto" w:sz="0" w:space="0"/>
          <w:bottom w:val="single" w:color="auto" w:sz="4" w:space="0"/>
          <w:right w:val="single" w:color="auto" w:sz="4" w:space="0"/>
          <w:insideH w:val="single" w:color="auto" w:sz="4" w:space="0"/>
          <w:insideV w:val="none" w:color="auto" w:sz="0" w:space="0"/>
        </w:tblBorders>
        <w:tblLayout w:type="fixed"/>
        <w:tblCellMar>
          <w:top w:w="102" w:type="dxa"/>
          <w:left w:w="62" w:type="dxa"/>
          <w:bottom w:w="102" w:type="dxa"/>
          <w:right w:w="62" w:type="dxa"/>
        </w:tblCellMar>
      </w:tblPr>
      <w:tblGrid>
        <w:gridCol w:w="586"/>
        <w:gridCol w:w="4082"/>
        <w:gridCol w:w="5216"/>
      </w:tblGrid>
      <w:tr>
        <w:tblPrEx>
          <w:tblBorders>
            <w:top w:val="single" w:color="auto" w:sz="4" w:space="0"/>
            <w:left w:val="none" w:color="auto" w:sz="0" w:space="0"/>
            <w:bottom w:val="single" w:color="auto" w:sz="4" w:space="0"/>
            <w:right w:val="single" w:color="auto" w:sz="4" w:space="0"/>
            <w:insideH w:val="single" w:color="auto" w:sz="4" w:space="0"/>
            <w:insideV w:val="none" w:color="auto" w:sz="0" w:space="0"/>
          </w:tblBorders>
          <w:tblCellMar>
            <w:top w:w="102" w:type="dxa"/>
            <w:left w:w="62" w:type="dxa"/>
            <w:bottom w:w="102" w:type="dxa"/>
            <w:right w:w="62" w:type="dxa"/>
          </w:tblCellMar>
        </w:tblPrEx>
        <w:tc>
          <w:tcPr>
            <w:tcW w:w="586" w:type="dxa"/>
            <w:tcBorders>
              <w:top w:val="single" w:color="auto" w:sz="4" w:space="0"/>
              <w:left w:val="nil"/>
              <w:bottom w:val="single" w:color="auto" w:sz="4" w:space="0"/>
              <w:right w:val="nil"/>
            </w:tcBorders>
          </w:tcPr>
          <w:p>
            <w:pPr>
              <w:pStyle w:val="4"/>
              <w:rPr>
                <w:rFonts w:hint="default" w:ascii="Times New Roman" w:hAnsi="Times New Roman" w:cs="Times New Roman"/>
              </w:rPr>
            </w:pPr>
          </w:p>
        </w:tc>
        <w:tc>
          <w:tcPr>
            <w:tcW w:w="4082" w:type="dxa"/>
            <w:tcBorders>
              <w:top w:val="single" w:color="auto" w:sz="4" w:space="0"/>
              <w:left w:val="nil"/>
              <w:bottom w:val="single" w:color="auto" w:sz="4" w:space="0"/>
              <w:right w:val="single" w:color="auto" w:sz="4" w:space="0"/>
            </w:tcBorders>
          </w:tcPr>
          <w:p>
            <w:pPr>
              <w:pStyle w:val="4"/>
              <w:jc w:val="center"/>
              <w:rPr>
                <w:rFonts w:hint="default" w:ascii="Times New Roman" w:hAnsi="Times New Roman" w:cs="Times New Roman"/>
              </w:rPr>
            </w:pPr>
            <w:r>
              <w:rPr>
                <w:rFonts w:hint="default" w:ascii="Times New Roman" w:hAnsi="Times New Roman" w:cs="Times New Roman"/>
                <w:sz w:val="20"/>
              </w:rPr>
              <w:t>Отрасль (сфера) экономики (виды деятельности)</w:t>
            </w:r>
          </w:p>
        </w:tc>
        <w:tc>
          <w:tcPr>
            <w:tcW w:w="5216" w:type="dxa"/>
            <w:tcBorders>
              <w:top w:val="single" w:color="auto" w:sz="4" w:space="0"/>
              <w:left w:val="single" w:color="auto" w:sz="4" w:space="0"/>
              <w:bottom w:val="single" w:color="auto" w:sz="4" w:space="0"/>
              <w:right w:val="single" w:color="auto" w:sz="4" w:space="0"/>
            </w:tcBorders>
          </w:tcPr>
          <w:p>
            <w:pPr>
              <w:pStyle w:val="4"/>
              <w:jc w:val="center"/>
              <w:rPr>
                <w:rFonts w:hint="default" w:ascii="Times New Roman" w:hAnsi="Times New Roman" w:cs="Times New Roman"/>
              </w:rPr>
            </w:pPr>
            <w:r>
              <w:rPr>
                <w:rFonts w:hint="default" w:ascii="Times New Roman" w:hAnsi="Times New Roman" w:cs="Times New Roman"/>
                <w:sz w:val="20"/>
              </w:rPr>
              <w:t>Ожидаемые результаты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single" w:color="auto" w:sz="4" w:space="0"/>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1.</w:t>
            </w:r>
          </w:p>
        </w:tc>
        <w:tc>
          <w:tcPr>
            <w:tcW w:w="4082" w:type="dxa"/>
            <w:tcBorders>
              <w:top w:val="single" w:color="auto" w:sz="4" w:space="0"/>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color="auto" w:sz="4" w:space="0"/>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pPr>
              <w:pStyle w:val="4"/>
              <w:rPr>
                <w:rFonts w:hint="default" w:ascii="Times New Roman" w:hAnsi="Times New Roman" w:cs="Times New Roman"/>
              </w:rPr>
            </w:pPr>
            <w:r>
              <w:rPr>
                <w:rFonts w:hint="default" w:ascii="Times New Roman" w:hAnsi="Times New Roman" w:cs="Times New Roman"/>
                <w:sz w:val="20"/>
              </w:rPr>
              <w:t>снижение цен на лекарственные препараты для медицинского применения и медицинские изделия, улучшение их доступности для граждан;</w:t>
            </w:r>
          </w:p>
          <w:p>
            <w:pPr>
              <w:pStyle w:val="4"/>
              <w:rPr>
                <w:rFonts w:hint="default" w:ascii="Times New Roman" w:hAnsi="Times New Roman" w:cs="Times New Roman"/>
              </w:rPr>
            </w:pPr>
            <w:r>
              <w:rPr>
                <w:rFonts w:hint="default" w:ascii="Times New Roman" w:hAnsi="Times New Roman" w:cs="Times New Roman"/>
                <w:sz w:val="20"/>
              </w:rP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2.</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Рынок социальных услуг</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обеспечение возможности участия в оказании социальных услуг негосударственным организациям на недискриминационной основе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3.</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Агропромышленный комплекс</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4.</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Дорожное строительство</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pPr>
              <w:pStyle w:val="4"/>
              <w:rPr>
                <w:rFonts w:hint="default" w:ascii="Times New Roman" w:hAnsi="Times New Roman" w:cs="Times New Roman"/>
              </w:rPr>
            </w:pPr>
            <w:r>
              <w:rPr>
                <w:rFonts w:hint="default" w:ascii="Times New Roman" w:hAnsi="Times New Roman" w:cs="Times New Roman"/>
                <w:sz w:val="20"/>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5.</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Телекоммуникации</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pPr>
              <w:pStyle w:val="4"/>
              <w:rPr>
                <w:rFonts w:hint="default" w:ascii="Times New Roman" w:hAnsi="Times New Roman" w:cs="Times New Roman"/>
              </w:rPr>
            </w:pPr>
            <w:r>
              <w:rPr>
                <w:rFonts w:hint="default" w:ascii="Times New Roman" w:hAnsi="Times New Roman" w:cs="Times New Roman"/>
                <w:sz w:val="20"/>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pPr>
              <w:pStyle w:val="4"/>
              <w:rPr>
                <w:rFonts w:hint="default" w:ascii="Times New Roman" w:hAnsi="Times New Roman" w:cs="Times New Roman"/>
              </w:rPr>
            </w:pPr>
            <w:r>
              <w:rPr>
                <w:rFonts w:hint="default" w:ascii="Times New Roman" w:hAnsi="Times New Roman" w:cs="Times New Roman"/>
                <w:sz w:val="20"/>
              </w:rPr>
              <w:t>Устранение необоснованной разницы в тарифах на услуги сотовой связи при поездках по Российской Федерации (роуминг)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6.</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Информационные технологии</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7.</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неувеличения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 Федерации, где на момент утверждения Национального плана уже достигнуты показатели первого или последующих годов):</w:t>
            </w:r>
          </w:p>
          <w:p>
            <w:pPr>
              <w:pStyle w:val="4"/>
              <w:rPr>
                <w:rFonts w:hint="default" w:ascii="Times New Roman" w:hAnsi="Times New Roman" w:cs="Times New Roman"/>
              </w:rPr>
            </w:pPr>
            <w:r>
              <w:rPr>
                <w:rFonts w:hint="default" w:ascii="Times New Roman" w:hAnsi="Times New Roman" w:cs="Times New Roman"/>
                <w:sz w:val="20"/>
              </w:rPr>
              <w:t>теплоснабжение - до 20 процентов в 2019 году и до 10 процентов в 2020 году;</w:t>
            </w:r>
          </w:p>
          <w:p>
            <w:pPr>
              <w:pStyle w:val="4"/>
              <w:rPr>
                <w:rFonts w:hint="default" w:ascii="Times New Roman" w:hAnsi="Times New Roman" w:cs="Times New Roman"/>
              </w:rPr>
            </w:pPr>
            <w:r>
              <w:rPr>
                <w:rFonts w:hint="default" w:ascii="Times New Roman" w:hAnsi="Times New Roman" w:cs="Times New Roman"/>
                <w:sz w:val="20"/>
              </w:rPr>
              <w:t>водоснабжение - до 20 процентов в 2019 году и до 10 процентов в 2020 году;</w:t>
            </w:r>
          </w:p>
          <w:p>
            <w:pPr>
              <w:pStyle w:val="4"/>
              <w:rPr>
                <w:rFonts w:hint="default" w:ascii="Times New Roman" w:hAnsi="Times New Roman" w:cs="Times New Roman"/>
              </w:rPr>
            </w:pPr>
            <w:r>
              <w:rPr>
                <w:rFonts w:hint="default" w:ascii="Times New Roman" w:hAnsi="Times New Roman" w:cs="Times New Roman"/>
                <w:sz w:val="20"/>
              </w:rPr>
              <w:t>водоотведение - до 20 процентов в 2019 году и до 10 процентов в 2020 году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8.</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Газоснабжение</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переход к рыночному ценообразованию путем формирования биржевых и внебиржевых индикаторов цен на природный газ, обеспеченных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9.</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Нефть и нефтепродукты</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развитие рыночных механизмов ценообразования путем развития организованных торгов нефтью на экспорт и формирование эталона (бенчмарк)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дерегулирование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 совершаемых экспортных сделок на нефть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10.</w:t>
            </w:r>
          </w:p>
        </w:tc>
        <w:tc>
          <w:tcPr>
            <w:tcW w:w="4082" w:type="dxa"/>
            <w:tcBorders>
              <w:top w:val="nil"/>
              <w:left w:val="nil"/>
              <w:bottom w:val="nil"/>
              <w:right w:val="nil"/>
            </w:tcBorders>
          </w:tcPr>
          <w:p>
            <w:pPr>
              <w:pStyle w:val="4"/>
              <w:jc w:val="left"/>
              <w:rPr>
                <w:rFonts w:hint="default" w:ascii="Times New Roman" w:hAnsi="Times New Roman" w:cs="Times New Roman"/>
              </w:rPr>
            </w:pPr>
            <w:r>
              <w:rPr>
                <w:rFonts w:hint="default" w:ascii="Times New Roman" w:hAnsi="Times New Roman" w:cs="Times New Roman"/>
                <w:sz w:val="20"/>
              </w:rPr>
              <w:t>Сфера естественных монополий</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исключение тарифной дискриминации.</w:t>
            </w:r>
          </w:p>
          <w:p>
            <w:pPr>
              <w:pStyle w:val="4"/>
              <w:rPr>
                <w:rFonts w:hint="default" w:ascii="Times New Roman" w:hAnsi="Times New Roman" w:cs="Times New Roman"/>
              </w:rPr>
            </w:pPr>
            <w:r>
              <w:rPr>
                <w:rFonts w:hint="default" w:ascii="Times New Roman" w:hAnsi="Times New Roman" w:cs="Times New Roman"/>
                <w:sz w:val="20"/>
              </w:rPr>
              <w:t>Прозрачность и долгосрочность тарифного регулирования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11.</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Транспортные услуги</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pPr>
              <w:pStyle w:val="4"/>
              <w:rPr>
                <w:rFonts w:hint="default" w:ascii="Times New Roman" w:hAnsi="Times New Roman" w:cs="Times New Roman"/>
              </w:rPr>
            </w:pPr>
            <w:r>
              <w:rPr>
                <w:rFonts w:hint="default" w:ascii="Times New Roman" w:hAnsi="Times New Roman" w:cs="Times New Roman"/>
                <w:sz w:val="20"/>
              </w:rPr>
              <w:t>Дальнейшее развитие институтов взаимодействия государства и бизнеса (в том числе в рамках совета рынка транспортных услуг).</w:t>
            </w:r>
          </w:p>
          <w:p>
            <w:pPr>
              <w:pStyle w:val="4"/>
              <w:rPr>
                <w:rFonts w:hint="default" w:ascii="Times New Roman" w:hAnsi="Times New Roman" w:cs="Times New Roman"/>
              </w:rPr>
            </w:pPr>
            <w:r>
              <w:rPr>
                <w:rFonts w:hint="default" w:ascii="Times New Roman" w:hAnsi="Times New Roman" w:cs="Times New Roman"/>
                <w:sz w:val="20"/>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 Контроль уровня экономической концентрации в сфере грузового транспорта.</w:t>
            </w:r>
          </w:p>
          <w:p>
            <w:pPr>
              <w:pStyle w:val="4"/>
              <w:rPr>
                <w:rFonts w:hint="default" w:ascii="Times New Roman" w:hAnsi="Times New Roman" w:cs="Times New Roman"/>
              </w:rPr>
            </w:pPr>
            <w:r>
              <w:rPr>
                <w:rFonts w:hint="default" w:ascii="Times New Roman" w:hAnsi="Times New Roman" w:cs="Times New Roman"/>
                <w:sz w:val="20"/>
              </w:rP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pPr>
              <w:pStyle w:val="4"/>
              <w:rPr>
                <w:rFonts w:hint="default" w:ascii="Times New Roman" w:hAnsi="Times New Roman" w:cs="Times New Roman"/>
              </w:rPr>
            </w:pPr>
            <w:r>
              <w:rPr>
                <w:rFonts w:hint="default" w:ascii="Times New Roman" w:hAnsi="Times New Roman" w:cs="Times New Roman"/>
                <w:sz w:val="20"/>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pPr>
              <w:pStyle w:val="4"/>
              <w:rPr>
                <w:rFonts w:hint="default" w:ascii="Times New Roman" w:hAnsi="Times New Roman" w:cs="Times New Roman"/>
              </w:rPr>
            </w:pPr>
            <w:r>
              <w:rPr>
                <w:rFonts w:hint="default" w:ascii="Times New Roman" w:hAnsi="Times New Roman" w:cs="Times New Roman"/>
                <w:sz w:val="20"/>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pPr>
              <w:pStyle w:val="4"/>
              <w:rPr>
                <w:rFonts w:hint="default" w:ascii="Times New Roman" w:hAnsi="Times New Roman" w:cs="Times New Roman"/>
              </w:rPr>
            </w:pPr>
            <w:r>
              <w:rPr>
                <w:rFonts w:hint="default" w:ascii="Times New Roman" w:hAnsi="Times New Roman" w:cs="Times New Roman"/>
                <w:sz w:val="20"/>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586" w:type="dxa"/>
            <w:tcBorders>
              <w:top w:val="nil"/>
              <w:left w:val="nil"/>
              <w:bottom w:val="nil"/>
              <w:right w:val="nil"/>
            </w:tcBorders>
          </w:tcPr>
          <w:p>
            <w:pPr>
              <w:pStyle w:val="4"/>
              <w:jc w:val="center"/>
              <w:rPr>
                <w:rFonts w:hint="default" w:ascii="Times New Roman" w:hAnsi="Times New Roman" w:cs="Times New Roman"/>
              </w:rPr>
            </w:pPr>
            <w:r>
              <w:rPr>
                <w:rFonts w:hint="default" w:ascii="Times New Roman" w:hAnsi="Times New Roman" w:cs="Times New Roman"/>
                <w:sz w:val="20"/>
              </w:rPr>
              <w:t>12.</w:t>
            </w:r>
          </w:p>
        </w:tc>
        <w:tc>
          <w:tcPr>
            <w:tcW w:w="4082"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Промышленность</w:t>
            </w:r>
          </w:p>
        </w:tc>
        <w:tc>
          <w:tcPr>
            <w:tcW w:w="5216" w:type="dxa"/>
            <w:tcBorders>
              <w:top w:val="nil"/>
              <w:left w:val="nil"/>
              <w:bottom w:val="nil"/>
              <w:right w:val="nil"/>
            </w:tcBorders>
          </w:tcPr>
          <w:p>
            <w:pPr>
              <w:pStyle w:val="4"/>
              <w:rPr>
                <w:rFonts w:hint="default" w:ascii="Times New Roman" w:hAnsi="Times New Roman" w:cs="Times New Roman"/>
              </w:rPr>
            </w:pPr>
            <w:r>
              <w:rPr>
                <w:rFonts w:hint="default" w:ascii="Times New Roman" w:hAnsi="Times New Roman" w:cs="Times New Roman"/>
                <w:sz w:val="20"/>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pPr>
              <w:pStyle w:val="4"/>
              <w:rPr>
                <w:rFonts w:hint="default" w:ascii="Times New Roman" w:hAnsi="Times New Roman" w:cs="Times New Roman"/>
              </w:rPr>
            </w:pPr>
            <w:r>
              <w:rPr>
                <w:rFonts w:hint="default" w:ascii="Times New Roman" w:hAnsi="Times New Roman" w:cs="Times New Roman"/>
                <w:sz w:val="20"/>
              </w:rP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c>
          <w:tcPr>
            <w:tcW w:w="586" w:type="dxa"/>
            <w:tcBorders>
              <w:top w:val="nil"/>
              <w:left w:val="nil"/>
              <w:bottom w:val="single" w:color="auto" w:sz="4" w:space="0"/>
              <w:right w:val="nil"/>
            </w:tcBorders>
          </w:tcPr>
          <w:p>
            <w:pPr>
              <w:pStyle w:val="4"/>
              <w:jc w:val="center"/>
              <w:rPr>
                <w:rFonts w:hint="default" w:ascii="Times New Roman" w:hAnsi="Times New Roman" w:cs="Times New Roman"/>
              </w:rPr>
            </w:pPr>
            <w:r>
              <w:rPr>
                <w:rFonts w:hint="default" w:ascii="Times New Roman" w:hAnsi="Times New Roman" w:cs="Times New Roman"/>
                <w:sz w:val="20"/>
              </w:rPr>
              <w:t>13.</w:t>
            </w:r>
          </w:p>
        </w:tc>
        <w:tc>
          <w:tcPr>
            <w:tcW w:w="4082" w:type="dxa"/>
            <w:tcBorders>
              <w:top w:val="nil"/>
              <w:left w:val="nil"/>
              <w:bottom w:val="single" w:color="auto" w:sz="4" w:space="0"/>
              <w:right w:val="nil"/>
            </w:tcBorders>
          </w:tcPr>
          <w:p>
            <w:pPr>
              <w:pStyle w:val="4"/>
              <w:rPr>
                <w:rFonts w:hint="default" w:ascii="Times New Roman" w:hAnsi="Times New Roman" w:cs="Times New Roman"/>
              </w:rPr>
            </w:pPr>
            <w:r>
              <w:rPr>
                <w:rFonts w:hint="default" w:ascii="Times New Roman" w:hAnsi="Times New Roman" w:cs="Times New Roman"/>
                <w:sz w:val="20"/>
              </w:rPr>
              <w:t>Финансовые рынки</w:t>
            </w:r>
          </w:p>
        </w:tc>
        <w:tc>
          <w:tcPr>
            <w:tcW w:w="5216" w:type="dxa"/>
            <w:tcBorders>
              <w:top w:val="nil"/>
              <w:left w:val="nil"/>
              <w:bottom w:val="single" w:color="auto" w:sz="4" w:space="0"/>
              <w:right w:val="nil"/>
            </w:tcBorders>
          </w:tcPr>
          <w:p>
            <w:pPr>
              <w:pStyle w:val="4"/>
              <w:rPr>
                <w:rFonts w:hint="default" w:ascii="Times New Roman" w:hAnsi="Times New Roman" w:cs="Times New Roman"/>
              </w:rPr>
            </w:pPr>
            <w:r>
              <w:rPr>
                <w:rFonts w:hint="default" w:ascii="Times New Roman" w:hAnsi="Times New Roman" w:cs="Times New Roman"/>
                <w:sz w:val="20"/>
              </w:rPr>
              <w:t>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формирования Комитета пользователей услуг центрального депозитария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pPr>
        <w:pStyle w:val="4"/>
        <w:jc w:val="both"/>
        <w:rPr>
          <w:rFonts w:hint="default" w:ascii="Times New Roman" w:hAnsi="Times New Roman" w:cs="Times New Roman"/>
        </w:rPr>
      </w:pPr>
    </w:p>
    <w:p>
      <w:pPr>
        <w:pStyle w:val="4"/>
        <w:jc w:val="both"/>
        <w:rPr>
          <w:rFonts w:hint="default" w:ascii="Times New Roman" w:hAnsi="Times New Roman" w:cs="Times New Roman"/>
        </w:rPr>
      </w:pPr>
    </w:p>
    <w:p>
      <w:pPr>
        <w:pStyle w:val="4"/>
        <w:pBdr>
          <w:top w:val="single" w:color="auto" w:sz="6" w:space="0"/>
        </w:pBdr>
        <w:spacing w:before="100" w:after="100"/>
        <w:jc w:val="both"/>
        <w:rPr>
          <w:rFonts w:hint="default" w:ascii="Times New Roman" w:hAnsi="Times New Roman" w:cs="Times New Roman"/>
          <w:sz w:val="2"/>
          <w:szCs w:val="2"/>
        </w:rPr>
      </w:pPr>
    </w:p>
    <w:p>
      <w:pPr>
        <w:rPr>
          <w:rFonts w:hint="default" w:ascii="Times New Roman" w:hAnsi="Times New Roman" w:cs="Times New Roman"/>
        </w:rPr>
      </w:pPr>
    </w:p>
    <w:sectPr>
      <w:pgSz w:w="11906" w:h="16838"/>
      <w:pgMar w:top="10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70CC5"/>
    <w:rsid w:val="51D70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ConsPlusNormal"/>
    <w:uiPriority w:val="0"/>
    <w:pPr>
      <w:widowControl w:val="0"/>
      <w:autoSpaceDE w:val="0"/>
      <w:autoSpaceDN w:val="0"/>
    </w:pPr>
    <w:rPr>
      <w:rFonts w:ascii="Calibri" w:hAnsi="Calibri" w:cs="Calibri"/>
      <w:sz w:val="20"/>
    </w:rPr>
  </w:style>
  <w:style w:type="paragraph" w:customStyle="1" w:styleId="5">
    <w:name w:val="ConsPlusNonformat"/>
    <w:uiPriority w:val="0"/>
    <w:pPr>
      <w:widowControl w:val="0"/>
      <w:autoSpaceDE w:val="0"/>
      <w:autoSpaceDN w:val="0"/>
    </w:pPr>
    <w:rPr>
      <w:rFonts w:ascii="Courier New" w:hAnsi="Courier New" w:cs="Courier New"/>
      <w:sz w:val="20"/>
    </w:rPr>
  </w:style>
  <w:style w:type="paragraph" w:customStyle="1" w:styleId="6">
    <w:name w:val="ConsPlusTitle"/>
    <w:uiPriority w:val="0"/>
    <w:pPr>
      <w:widowControl w:val="0"/>
      <w:autoSpaceDE w:val="0"/>
      <w:autoSpaceDN w:val="0"/>
    </w:pPr>
    <w:rPr>
      <w:rFonts w:ascii="Calibri" w:hAnsi="Calibri" w:cs="Calibri"/>
      <w:b/>
      <w:sz w:val="20"/>
    </w:rPr>
  </w:style>
  <w:style w:type="paragraph" w:customStyle="1" w:styleId="7">
    <w:name w:val="ConsPlusCell"/>
    <w:uiPriority w:val="0"/>
    <w:pPr>
      <w:widowControl w:val="0"/>
      <w:autoSpaceDE w:val="0"/>
      <w:autoSpaceDN w:val="0"/>
    </w:pPr>
    <w:rPr>
      <w:rFonts w:ascii="Courier New" w:hAnsi="Courier New" w:cs="Courier New"/>
      <w:sz w:val="20"/>
    </w:rPr>
  </w:style>
  <w:style w:type="paragraph" w:customStyle="1" w:styleId="8">
    <w:name w:val="ConsPlusDocList"/>
    <w:uiPriority w:val="0"/>
    <w:pPr>
      <w:widowControl w:val="0"/>
      <w:autoSpaceDE w:val="0"/>
      <w:autoSpaceDN w:val="0"/>
    </w:pPr>
    <w:rPr>
      <w:rFonts w:ascii="Calibri" w:hAnsi="Calibri" w:cs="Calibri"/>
      <w:sz w:val="20"/>
    </w:rPr>
  </w:style>
  <w:style w:type="paragraph" w:customStyle="1" w:styleId="9">
    <w:name w:val="ConsPlusTitlePage"/>
    <w:uiPriority w:val="0"/>
    <w:pPr>
      <w:widowControl w:val="0"/>
      <w:autoSpaceDE w:val="0"/>
      <w:autoSpaceDN w:val="0"/>
    </w:pPr>
    <w:rPr>
      <w:rFonts w:ascii="Tahoma" w:hAnsi="Tahoma" w:cs="Tahoma"/>
      <w:sz w:val="20"/>
    </w:rPr>
  </w:style>
  <w:style w:type="paragraph" w:customStyle="1" w:styleId="10">
    <w:name w:val="ConsPlusJurTerm"/>
    <w:uiPriority w:val="0"/>
    <w:pPr>
      <w:widowControl w:val="0"/>
      <w:autoSpaceDE w:val="0"/>
      <w:autoSpaceDN w:val="0"/>
    </w:pPr>
    <w:rPr>
      <w:rFonts w:ascii="Tahoma" w:hAnsi="Tahoma" w:cs="Tahoma"/>
      <w:sz w:val="26"/>
    </w:rPr>
  </w:style>
  <w:style w:type="paragraph" w:customStyle="1" w:styleId="11">
    <w:name w:val="ConsPlusTextList"/>
    <w:uiPriority w:val="0"/>
    <w:pPr>
      <w:widowControl w:val="0"/>
      <w:autoSpaceDE w:val="0"/>
      <w:autoSpaceDN w:val="0"/>
    </w:pPr>
    <w:rPr>
      <w:rFonts w:ascii="Arial" w:hAnsi="Arial" w:cs="Arial"/>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КонсультантПлюс Версия 4019.00.02</Company>
  <Pages>1</Pages>
  <Words>0</Words>
  <Characters>0</Characters>
  <Lines>0</Lines>
  <Paragraphs>0</Paragraphs>
  <TotalTime>3</TotalTime>
  <ScaleCrop>false</ScaleCrop>
  <LinksUpToDate>false</LinksUpToDate>
  <CharactersWithSpaces>0</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1899-12-29T21:00:00Z</dcterms:created>
  <dc:creator>uag114</dc:creator>
  <cp:lastModifiedBy>uag114</cp:lastModifiedBy>
  <dcterms:modified xsi:type="dcterms:W3CDTF">2020-02-14T09:03:58Z</dcterms:modified>
  <dc:title>Указ Президента РФ от 21.12.2017 N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